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EA34C1">
        <w:rPr>
          <w:sz w:val="24"/>
          <w:szCs w:val="24"/>
        </w:rPr>
        <w:t>2</w:t>
      </w:r>
      <w:r w:rsidR="002F5A3A">
        <w:rPr>
          <w:sz w:val="24"/>
          <w:szCs w:val="24"/>
        </w:rPr>
        <w:t>2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2F5A3A">
        <w:rPr>
          <w:sz w:val="24"/>
          <w:szCs w:val="24"/>
        </w:rPr>
        <w:t>4</w:t>
      </w:r>
      <w:r w:rsidR="009A77E9">
        <w:rPr>
          <w:sz w:val="24"/>
          <w:szCs w:val="24"/>
        </w:rPr>
        <w:t xml:space="preserve"> de </w:t>
      </w:r>
      <w:r w:rsidR="002F5A3A">
        <w:rPr>
          <w:sz w:val="24"/>
          <w:szCs w:val="24"/>
        </w:rPr>
        <w:t>abril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54489B" w:rsidP="00663345">
      <w:pPr>
        <w:ind w:left="360"/>
        <w:jc w:val="center"/>
        <w:rPr>
          <w:b/>
          <w:u w:val="single"/>
        </w:rPr>
      </w:pPr>
      <w:r>
        <w:rPr>
          <w:b/>
        </w:rPr>
        <w:t>Torneo Clausura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09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1"/>
        <w:gridCol w:w="2126"/>
        <w:gridCol w:w="850"/>
      </w:tblGrid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2F5A3A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47077E" w:rsidRDefault="002F5A3A" w:rsidP="00B90BC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CC55C6" w:rsidRDefault="002F5A3A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47077E" w:rsidRDefault="002F5A3A" w:rsidP="00B90BC1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CC55C6" w:rsidRDefault="002F5A3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F5A3A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47077E" w:rsidRDefault="002F5A3A" w:rsidP="00B90BC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CC55C6" w:rsidRDefault="002F5A3A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47077E" w:rsidRDefault="002F5A3A" w:rsidP="00B90BC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CC55C6" w:rsidRDefault="002F5A3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F5A3A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47077E" w:rsidRDefault="002F5A3A" w:rsidP="00B90BC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CC55C6" w:rsidRDefault="002F5A3A" w:rsidP="00D972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47077E" w:rsidRDefault="002F5A3A" w:rsidP="00B90BC1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CC55C6" w:rsidRDefault="002F5A3A" w:rsidP="00D972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F5A3A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47077E" w:rsidRDefault="002F5A3A" w:rsidP="00B90BC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CC55C6" w:rsidRDefault="002F5A3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47077E" w:rsidRDefault="002F5A3A" w:rsidP="00B90BC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CC55C6" w:rsidRDefault="002F5A3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F5A3A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47077E" w:rsidRDefault="002F5A3A" w:rsidP="00B90BC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Default="002F5A3A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Pr="0047077E" w:rsidRDefault="002F5A3A" w:rsidP="00B90BC1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Default="002F5A3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F5A3A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Default="002F5A3A" w:rsidP="00B90BC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Default="002F5A3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Default="002F5A3A" w:rsidP="00B90BC1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3A" w:rsidRDefault="002F5A3A" w:rsidP="009D28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C246B1" w:rsidRDefault="00C246B1" w:rsidP="00C246B1">
      <w:pPr>
        <w:ind w:left="1418"/>
      </w:pP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5B0F7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212214520"/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5B0F7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9D2842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5B0F77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5B0F7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5B0F7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C1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5B0F7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5B0F7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5B0F7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C1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5B0F7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5B0F7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3C4A88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5B0F7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5B0F7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77" w:rsidRPr="009D2842" w:rsidRDefault="005B0F77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77" w:rsidRPr="00CC55C6" w:rsidRDefault="005B0F77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2F5A3A">
        <w:rPr>
          <w:b/>
          <w:u w:val="single"/>
        </w:rPr>
        <w:t>16</w:t>
      </w:r>
      <w:proofErr w:type="gramEnd"/>
      <w:r w:rsidR="009D36AE">
        <w:rPr>
          <w:b/>
          <w:u w:val="single"/>
        </w:rPr>
        <w:t xml:space="preserve"> abril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332038" w:rsidP="005B7C1D">
      <w:pPr>
        <w:ind w:left="360"/>
        <w:rPr>
          <w:u w:val="single"/>
        </w:rPr>
      </w:pPr>
      <w:r>
        <w:rPr>
          <w:u w:val="single"/>
        </w:rPr>
        <w:t xml:space="preserve"> </w:t>
      </w:r>
    </w:p>
    <w:p w:rsidR="00833004" w:rsidRDefault="00332038" w:rsidP="00663345">
      <w:pPr>
        <w:ind w:left="2124" w:firstLine="3"/>
        <w:rPr>
          <w:b/>
        </w:rPr>
      </w:pPr>
      <w:r>
        <w:rPr>
          <w:b/>
        </w:rPr>
        <w:t xml:space="preserve">                         Torneo Clausura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65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6"/>
        <w:gridCol w:w="2184"/>
        <w:gridCol w:w="1987"/>
      </w:tblGrid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C246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2F5A3A" w:rsidP="004A2F4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1987" w:type="dxa"/>
          </w:tcPr>
          <w:p w:rsidR="00332038" w:rsidRPr="0047077E" w:rsidRDefault="002F5A3A" w:rsidP="001C199A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663345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2F5A3A" w:rsidP="0054489B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1987" w:type="dxa"/>
          </w:tcPr>
          <w:p w:rsidR="00332038" w:rsidRPr="0047077E" w:rsidRDefault="002F5A3A" w:rsidP="001C199A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C22E3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54489B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2F5A3A" w:rsidP="001C199A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1987" w:type="dxa"/>
          </w:tcPr>
          <w:p w:rsidR="00332038" w:rsidRPr="0047077E" w:rsidRDefault="002F5A3A" w:rsidP="001C199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2F5A3A" w:rsidP="00C40B39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C40B39" w:rsidP="00C22E3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2F5A3A" w:rsidP="001C199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1987" w:type="dxa"/>
          </w:tcPr>
          <w:p w:rsidR="00332038" w:rsidRPr="0047077E" w:rsidRDefault="002F5A3A" w:rsidP="001C199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Unirea</w:t>
            </w:r>
            <w:proofErr w:type="spellEnd"/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DC4E17" w:rsidP="00174F66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2F5A3A" w:rsidP="00AC3085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1987" w:type="dxa"/>
          </w:tcPr>
          <w:p w:rsidR="00332038" w:rsidRPr="0047077E" w:rsidRDefault="002F5A3A" w:rsidP="00C246B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Default="00DC4E17" w:rsidP="00AE3AAB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06" w:type="dxa"/>
          </w:tcPr>
          <w:p w:rsidR="00332038" w:rsidRPr="00996D44" w:rsidRDefault="00C40B39" w:rsidP="00DC4E17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Default="002F5A3A" w:rsidP="00AC3085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1987" w:type="dxa"/>
          </w:tcPr>
          <w:p w:rsidR="00332038" w:rsidRDefault="002F5A3A" w:rsidP="00C246B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</w:tbl>
    <w:p w:rsidR="00C40B39" w:rsidRDefault="00F41B9A" w:rsidP="005C5A59">
      <w:pPr>
        <w:ind w:left="360"/>
      </w:pPr>
      <w:r>
        <w:t xml:space="preserve">    </w:t>
      </w:r>
      <w:r w:rsidR="00B41183">
        <w:t xml:space="preserve"> </w:t>
      </w:r>
    </w:p>
    <w:p w:rsidR="00B41183" w:rsidRDefault="005C5A59" w:rsidP="00E15CC0">
      <w:pPr>
        <w:ind w:left="360"/>
      </w:pPr>
      <w:r>
        <w:tab/>
      </w:r>
      <w:r w:rsidR="00B41183">
        <w:t xml:space="preserve">        </w:t>
      </w:r>
    </w:p>
    <w:p w:rsidR="00DA6822" w:rsidRPr="0076685E" w:rsidRDefault="005C5A59" w:rsidP="0076685E">
      <w:pPr>
        <w:ind w:left="360"/>
        <w:rPr>
          <w:u w:val="single"/>
        </w:rPr>
      </w:pPr>
      <w:r>
        <w:rPr>
          <w:u w:val="single"/>
        </w:rPr>
        <w:t xml:space="preserve"> </w:t>
      </w:r>
      <w:r w:rsidR="00F41B9A"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7D2E1D" w:rsidRPr="00E02939" w:rsidRDefault="007D2E1D" w:rsidP="007D2E1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7D2E1D" w:rsidRPr="002F5A3A" w:rsidRDefault="007D2E1D" w:rsidP="007D2E1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2F5A3A">
        <w:t>7</w:t>
      </w:r>
      <w:r w:rsidR="00E15CC0">
        <w:t>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4A7BE1" w:rsidRPr="009D36AE" w:rsidRDefault="0034347C" w:rsidP="004A7BE1">
      <w:pPr>
        <w:numPr>
          <w:ilvl w:val="0"/>
          <w:numId w:val="4"/>
        </w:numPr>
        <w:rPr>
          <w:b/>
          <w:u w:val="single"/>
        </w:rPr>
      </w:pPr>
      <w:r w:rsidRPr="009D36AE">
        <w:rPr>
          <w:b/>
        </w:rPr>
        <w:t xml:space="preserve"> </w:t>
      </w:r>
      <w:proofErr w:type="spellStart"/>
      <w:r w:rsidR="004A7BE1" w:rsidRPr="009D36AE">
        <w:rPr>
          <w:b/>
        </w:rPr>
        <w:t>Koky</w:t>
      </w:r>
      <w:proofErr w:type="spellEnd"/>
    </w:p>
    <w:p w:rsidR="002F5A3A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A14119">
        <w:t>1</w:t>
      </w:r>
      <w:r w:rsidR="002F5A3A">
        <w:t>0</w:t>
      </w:r>
    </w:p>
    <w:p w:rsidR="004A7BE1" w:rsidRDefault="002F5A3A" w:rsidP="004A7BE1">
      <w:pPr>
        <w:numPr>
          <w:ilvl w:val="3"/>
          <w:numId w:val="11"/>
        </w:numPr>
      </w:pPr>
      <w:r>
        <w:t>2 amarillas al nº 15</w:t>
      </w:r>
      <w:r w:rsidR="004E39FD">
        <w:t>.</w:t>
      </w:r>
    </w:p>
    <w:p w:rsidR="00925197" w:rsidRDefault="00925197" w:rsidP="00925197">
      <w:pPr>
        <w:ind w:left="2880"/>
      </w:pPr>
    </w:p>
    <w:p w:rsidR="00AE3AAB" w:rsidRPr="0096468F" w:rsidRDefault="000D207D" w:rsidP="0096468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0020DB" w:rsidRDefault="000020DB" w:rsidP="004E39FD">
      <w:pPr>
        <w:numPr>
          <w:ilvl w:val="3"/>
          <w:numId w:val="11"/>
        </w:numPr>
      </w:pPr>
      <w:r>
        <w:t xml:space="preserve">2 </w:t>
      </w:r>
      <w:r w:rsidR="00455DE3">
        <w:t>amarilla</w:t>
      </w:r>
      <w:r>
        <w:t>s</w:t>
      </w:r>
      <w:r w:rsidR="00455DE3">
        <w:t xml:space="preserve"> al nº </w:t>
      </w:r>
      <w:r>
        <w:t>3</w:t>
      </w:r>
    </w:p>
    <w:p w:rsidR="000020DB" w:rsidRDefault="000020DB" w:rsidP="004E39FD">
      <w:pPr>
        <w:numPr>
          <w:ilvl w:val="3"/>
          <w:numId w:val="11"/>
        </w:numPr>
      </w:pPr>
      <w:r>
        <w:t>amarilla al nº 9</w:t>
      </w:r>
    </w:p>
    <w:p w:rsidR="000020DB" w:rsidRDefault="000020DB" w:rsidP="004E39FD">
      <w:pPr>
        <w:numPr>
          <w:ilvl w:val="3"/>
          <w:numId w:val="11"/>
        </w:numPr>
      </w:pPr>
      <w:r>
        <w:t>amarilla al nº 24</w:t>
      </w:r>
    </w:p>
    <w:p w:rsidR="00455DE3" w:rsidRPr="004E39FD" w:rsidRDefault="000020DB" w:rsidP="004E39FD">
      <w:pPr>
        <w:numPr>
          <w:ilvl w:val="3"/>
          <w:numId w:val="11"/>
        </w:numPr>
      </w:pPr>
      <w:r>
        <w:t>amarilla al nº 26</w:t>
      </w:r>
      <w:r w:rsidR="00A14119">
        <w:t>.</w:t>
      </w:r>
      <w:r w:rsidR="006847C9">
        <w:t xml:space="preserve"> </w:t>
      </w:r>
    </w:p>
    <w:p w:rsidR="004A7BE1" w:rsidRDefault="00321EEB" w:rsidP="00455DE3">
      <w:pPr>
        <w:ind w:left="2880"/>
      </w:pPr>
      <w:r>
        <w:t xml:space="preserve"> </w:t>
      </w:r>
    </w:p>
    <w:p w:rsidR="004A7BE1" w:rsidRPr="00455DE3" w:rsidRDefault="00E15CC0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1C199A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0020DB">
        <w:t>7</w:t>
      </w:r>
    </w:p>
    <w:p w:rsidR="000020DB" w:rsidRDefault="000020DB" w:rsidP="004A7BE1">
      <w:pPr>
        <w:numPr>
          <w:ilvl w:val="3"/>
          <w:numId w:val="11"/>
        </w:numPr>
      </w:pPr>
      <w:r>
        <w:t>amarilla al nº 12</w:t>
      </w:r>
    </w:p>
    <w:p w:rsidR="004A7BE1" w:rsidRDefault="001C199A" w:rsidP="004A7BE1">
      <w:pPr>
        <w:numPr>
          <w:ilvl w:val="3"/>
          <w:numId w:val="11"/>
        </w:numPr>
      </w:pPr>
      <w:r>
        <w:t>amarilla al nº 2</w:t>
      </w:r>
      <w:r w:rsidR="000020DB">
        <w:t>3</w:t>
      </w:r>
      <w:r w:rsidR="00455DE3">
        <w:t>.</w:t>
      </w:r>
    </w:p>
    <w:p w:rsidR="00455DE3" w:rsidRDefault="00455DE3" w:rsidP="00455DE3">
      <w:pPr>
        <w:ind w:left="2880"/>
      </w:pPr>
    </w:p>
    <w:p w:rsidR="00450BB8" w:rsidRPr="004E39FD" w:rsidRDefault="00455DE3" w:rsidP="004E39F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455DE3" w:rsidRDefault="00450BB8" w:rsidP="00455DE3">
      <w:pPr>
        <w:numPr>
          <w:ilvl w:val="3"/>
          <w:numId w:val="11"/>
        </w:numPr>
      </w:pPr>
      <w:r>
        <w:t xml:space="preserve">amarilla al nº </w:t>
      </w:r>
      <w:r w:rsidR="000020DB">
        <w:t>23.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A14119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9D36AE">
        <w:t>3</w:t>
      </w:r>
    </w:p>
    <w:p w:rsidR="009D36AE" w:rsidRDefault="00A14119" w:rsidP="00455DE3">
      <w:pPr>
        <w:numPr>
          <w:ilvl w:val="3"/>
          <w:numId w:val="11"/>
        </w:numPr>
      </w:pPr>
      <w:r>
        <w:t xml:space="preserve">amarilla al nº </w:t>
      </w:r>
      <w:r w:rsidR="009D36AE">
        <w:t>8</w:t>
      </w:r>
    </w:p>
    <w:p w:rsidR="0054157A" w:rsidRDefault="009D36AE" w:rsidP="0054157A">
      <w:pPr>
        <w:numPr>
          <w:ilvl w:val="3"/>
          <w:numId w:val="11"/>
        </w:numPr>
      </w:pPr>
      <w:r>
        <w:t>amarilla al nº 1</w:t>
      </w:r>
      <w:r w:rsidR="000020DB">
        <w:t>1.</w:t>
      </w:r>
    </w:p>
    <w:p w:rsidR="004E39FD" w:rsidRDefault="004E39FD" w:rsidP="004E39FD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A14119" w:rsidRDefault="00455DE3" w:rsidP="008A611E">
      <w:pPr>
        <w:numPr>
          <w:ilvl w:val="3"/>
          <w:numId w:val="11"/>
        </w:numPr>
      </w:pPr>
      <w:r>
        <w:t xml:space="preserve">amarilla al nº </w:t>
      </w:r>
      <w:r w:rsidR="000020DB">
        <w:t>5</w:t>
      </w:r>
    </w:p>
    <w:p w:rsidR="001C199A" w:rsidRDefault="00A14119" w:rsidP="008A611E">
      <w:pPr>
        <w:numPr>
          <w:ilvl w:val="3"/>
          <w:numId w:val="11"/>
        </w:numPr>
      </w:pPr>
      <w:r>
        <w:t xml:space="preserve">amarilla al nº </w:t>
      </w:r>
      <w:r w:rsidR="000020DB">
        <w:t>7</w:t>
      </w:r>
    </w:p>
    <w:p w:rsidR="001C199A" w:rsidRDefault="00570284" w:rsidP="008A611E">
      <w:pPr>
        <w:numPr>
          <w:ilvl w:val="3"/>
          <w:numId w:val="11"/>
        </w:numPr>
      </w:pPr>
      <w:r>
        <w:t xml:space="preserve">amarilla al nº </w:t>
      </w:r>
      <w:r w:rsidR="000020DB">
        <w:t>8</w:t>
      </w:r>
    </w:p>
    <w:p w:rsidR="00455DE3" w:rsidRDefault="00570284" w:rsidP="004C0979">
      <w:pPr>
        <w:numPr>
          <w:ilvl w:val="3"/>
          <w:numId w:val="11"/>
        </w:numPr>
      </w:pPr>
      <w:r>
        <w:t xml:space="preserve">amarilla al nº </w:t>
      </w:r>
      <w:r w:rsidR="000020DB">
        <w:t>18</w:t>
      </w:r>
      <w:r>
        <w:t>.</w:t>
      </w:r>
    </w:p>
    <w:p w:rsidR="00A14119" w:rsidRDefault="00A14119" w:rsidP="00A14119">
      <w:pPr>
        <w:ind w:left="2880"/>
      </w:pPr>
    </w:p>
    <w:p w:rsidR="00A14119" w:rsidRPr="00E02939" w:rsidRDefault="00A14119" w:rsidP="00A1411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455DE3" w:rsidRDefault="00A14119" w:rsidP="00455DE3">
      <w:pPr>
        <w:numPr>
          <w:ilvl w:val="3"/>
          <w:numId w:val="11"/>
        </w:numPr>
      </w:pPr>
      <w:r>
        <w:t xml:space="preserve">amarilla al nº </w:t>
      </w:r>
      <w:r w:rsidR="00570284">
        <w:t>1</w:t>
      </w:r>
      <w:r w:rsidR="000020DB">
        <w:t>5.</w:t>
      </w:r>
    </w:p>
    <w:p w:rsidR="003E3B81" w:rsidRDefault="003E3B81" w:rsidP="003E3B81">
      <w:pPr>
        <w:ind w:left="2880"/>
      </w:pPr>
    </w:p>
    <w:p w:rsidR="003E3B81" w:rsidRPr="00455DE3" w:rsidRDefault="003E3B81" w:rsidP="003E3B81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Tartanga</w:t>
      </w:r>
      <w:proofErr w:type="spellEnd"/>
    </w:p>
    <w:p w:rsidR="003E3B81" w:rsidRDefault="003E3B81" w:rsidP="003E3B81">
      <w:pPr>
        <w:numPr>
          <w:ilvl w:val="3"/>
          <w:numId w:val="11"/>
        </w:numPr>
      </w:pPr>
      <w:r>
        <w:t xml:space="preserve">amarilla al nº </w:t>
      </w:r>
      <w:r w:rsidR="00481D13">
        <w:t>28</w:t>
      </w:r>
      <w:r>
        <w:t>.</w:t>
      </w:r>
    </w:p>
    <w:p w:rsidR="000020DB" w:rsidRDefault="000020DB" w:rsidP="000020DB">
      <w:pPr>
        <w:ind w:left="2880"/>
      </w:pPr>
    </w:p>
    <w:p w:rsidR="000020DB" w:rsidRPr="00455DE3" w:rsidRDefault="000020DB" w:rsidP="000020DB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0020DB" w:rsidRDefault="000020DB" w:rsidP="000020DB">
      <w:pPr>
        <w:numPr>
          <w:ilvl w:val="3"/>
          <w:numId w:val="11"/>
        </w:numPr>
      </w:pPr>
      <w:r>
        <w:t>amarilla al nº 3</w:t>
      </w:r>
    </w:p>
    <w:p w:rsidR="000020DB" w:rsidRDefault="000020DB" w:rsidP="000020DB">
      <w:pPr>
        <w:numPr>
          <w:ilvl w:val="3"/>
          <w:numId w:val="11"/>
        </w:numPr>
      </w:pPr>
      <w:r>
        <w:t>amarilla al entrenador.</w:t>
      </w:r>
    </w:p>
    <w:p w:rsidR="000020DB" w:rsidRDefault="000020DB" w:rsidP="000020DB">
      <w:pPr>
        <w:ind w:left="2880"/>
      </w:pPr>
    </w:p>
    <w:p w:rsidR="000020DB" w:rsidRPr="00455DE3" w:rsidRDefault="000020DB" w:rsidP="000020DB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0020DB" w:rsidRDefault="000020DB" w:rsidP="000020DB">
      <w:pPr>
        <w:numPr>
          <w:ilvl w:val="3"/>
          <w:numId w:val="11"/>
        </w:numPr>
      </w:pPr>
      <w:r>
        <w:t>amarilla al nº 1</w:t>
      </w:r>
    </w:p>
    <w:p w:rsidR="000020DB" w:rsidRDefault="000020DB" w:rsidP="000020DB">
      <w:pPr>
        <w:numPr>
          <w:ilvl w:val="3"/>
          <w:numId w:val="11"/>
        </w:numPr>
      </w:pPr>
      <w:r>
        <w:t>amarilla al nº 4</w:t>
      </w:r>
    </w:p>
    <w:p w:rsidR="000020DB" w:rsidRDefault="000020DB" w:rsidP="000020DB">
      <w:pPr>
        <w:ind w:left="2880"/>
      </w:pPr>
      <w:proofErr w:type="gramStart"/>
      <w:r>
        <w:t>amarilla</w:t>
      </w:r>
      <w:proofErr w:type="gramEnd"/>
      <w:r>
        <w:t xml:space="preserve"> al nº 19.</w:t>
      </w:r>
    </w:p>
    <w:p w:rsidR="000020DB" w:rsidRDefault="000020DB" w:rsidP="000020DB">
      <w:pPr>
        <w:ind w:left="2880"/>
      </w:pPr>
    </w:p>
    <w:p w:rsidR="000020DB" w:rsidRPr="00455DE3" w:rsidRDefault="000020DB" w:rsidP="000020DB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0020DB" w:rsidRDefault="000020DB" w:rsidP="000020DB">
      <w:pPr>
        <w:numPr>
          <w:ilvl w:val="3"/>
          <w:numId w:val="11"/>
        </w:numPr>
      </w:pPr>
      <w:r>
        <w:t>amarilla al nº 3</w:t>
      </w:r>
    </w:p>
    <w:p w:rsidR="000020DB" w:rsidRDefault="000020DB" w:rsidP="000020DB">
      <w:pPr>
        <w:numPr>
          <w:ilvl w:val="3"/>
          <w:numId w:val="11"/>
        </w:numPr>
      </w:pPr>
      <w:r>
        <w:t>amarilla al nº 23.</w:t>
      </w:r>
    </w:p>
    <w:p w:rsidR="000020DB" w:rsidRDefault="000020DB" w:rsidP="000020DB"/>
    <w:p w:rsidR="000020DB" w:rsidRDefault="000020DB" w:rsidP="00653A00">
      <w:pPr>
        <w:ind w:left="426" w:hanging="426"/>
      </w:pPr>
      <w:r>
        <w:t xml:space="preserve">     </w:t>
      </w:r>
      <w:r w:rsidR="00653A00">
        <w:t xml:space="preserve">  </w:t>
      </w:r>
      <w:r w:rsidR="00B90BC1">
        <w:t>La decisión</w:t>
      </w:r>
      <w:r>
        <w:t xml:space="preserve"> sobre una reclamación por parte del responsable del Zabala respecto de la </w:t>
      </w:r>
      <w:r w:rsidR="00653A00">
        <w:t xml:space="preserve">posible </w:t>
      </w:r>
      <w:r>
        <w:t xml:space="preserve">alineación </w:t>
      </w:r>
      <w:r w:rsidR="00653A00">
        <w:t>sin ficha</w:t>
      </w:r>
      <w:r>
        <w:t xml:space="preserve"> de los jugadores </w:t>
      </w:r>
      <w:r w:rsidR="00653A00">
        <w:t xml:space="preserve">del </w:t>
      </w:r>
      <w:proofErr w:type="spellStart"/>
      <w:r w:rsidR="00653A00">
        <w:t>Unirea</w:t>
      </w:r>
      <w:proofErr w:type="spellEnd"/>
      <w:r w:rsidR="00653A00">
        <w:t xml:space="preserve"> que han participado en el encuentro con los dorsales 4 (</w:t>
      </w:r>
      <w:proofErr w:type="spellStart"/>
      <w:r w:rsidR="00653A00">
        <w:t>Soulyman</w:t>
      </w:r>
      <w:proofErr w:type="spellEnd"/>
      <w:r w:rsidR="00653A00">
        <w:t xml:space="preserve"> </w:t>
      </w:r>
      <w:proofErr w:type="spellStart"/>
      <w:r w:rsidR="00653A00">
        <w:t>Hamdoue</w:t>
      </w:r>
      <w:proofErr w:type="spellEnd"/>
      <w:r w:rsidR="00653A00">
        <w:t>) y 5 (</w:t>
      </w:r>
      <w:proofErr w:type="spellStart"/>
      <w:r w:rsidR="00653A00">
        <w:t>Azzedine</w:t>
      </w:r>
      <w:proofErr w:type="spellEnd"/>
      <w:r w:rsidR="00653A00">
        <w:t xml:space="preserve"> El </w:t>
      </w:r>
      <w:proofErr w:type="spellStart"/>
      <w:r w:rsidR="00653A00">
        <w:t>Ourayni</w:t>
      </w:r>
      <w:proofErr w:type="spellEnd"/>
      <w:r w:rsidR="00653A00">
        <w:t>)</w:t>
      </w:r>
      <w:r w:rsidR="00B90BC1">
        <w:t xml:space="preserve"> se ha incorporado</w:t>
      </w:r>
      <w:r w:rsidR="00EC48D8">
        <w:t xml:space="preserve"> en la web</w:t>
      </w:r>
      <w:r w:rsidR="00B90BC1">
        <w:t xml:space="preserve"> el 8-4-2023 tras el correspondiente análisis previo</w:t>
      </w:r>
      <w:r w:rsidR="00653A00">
        <w:t>.</w:t>
      </w:r>
    </w:p>
    <w:p w:rsidR="00B90BC1" w:rsidRDefault="00B90BC1" w:rsidP="00653A00">
      <w:pPr>
        <w:ind w:left="426" w:hanging="426"/>
      </w:pPr>
      <w:r>
        <w:t xml:space="preserve">       </w:t>
      </w:r>
    </w:p>
    <w:p w:rsidR="00EC48D8" w:rsidRDefault="00EC48D8" w:rsidP="00653A00">
      <w:pPr>
        <w:ind w:left="426" w:hanging="426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F24706" w:rsidRDefault="00F24706" w:rsidP="00354D51">
      <w:pPr>
        <w:ind w:left="708"/>
      </w:pP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1C199A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653A00" w:rsidRDefault="00653A00" w:rsidP="00764ABD">
            <w:pPr>
              <w:ind w:left="1"/>
              <w:rPr>
                <w:sz w:val="20"/>
                <w:szCs w:val="20"/>
              </w:rPr>
            </w:pPr>
          </w:p>
          <w:p w:rsidR="00F24706" w:rsidRDefault="00260BF7" w:rsidP="00A1411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7621D8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F24706" w:rsidRPr="00457CEA" w:rsidRDefault="00457CEA" w:rsidP="00F2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D207D" w:rsidRPr="003500F1" w:rsidTr="004839BA">
        <w:tc>
          <w:tcPr>
            <w:tcW w:w="1531" w:type="dxa"/>
            <w:vMerge w:val="restart"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0D207D" w:rsidRDefault="000D207D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3E3B81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0D207D" w:rsidRDefault="000D207D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D207D" w:rsidRPr="003500F1" w:rsidTr="004839BA">
        <w:tc>
          <w:tcPr>
            <w:tcW w:w="1531" w:type="dxa"/>
            <w:vMerge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1C199A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8A0232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4E39FD" w:rsidRDefault="007519BC" w:rsidP="00E15CC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23508" w:rsidRPr="003500F1" w:rsidTr="004839BA">
        <w:tc>
          <w:tcPr>
            <w:tcW w:w="1531" w:type="dxa"/>
          </w:tcPr>
          <w:p w:rsidR="00B90BC1" w:rsidRDefault="00B90BC1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Gildardo Osorio Loaiza </w:t>
            </w:r>
          </w:p>
          <w:p w:rsidR="00023508" w:rsidRDefault="00023508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23)</w:t>
            </w:r>
          </w:p>
        </w:tc>
        <w:tc>
          <w:tcPr>
            <w:tcW w:w="1134" w:type="dxa"/>
          </w:tcPr>
          <w:p w:rsidR="00023508" w:rsidRPr="007519BC" w:rsidRDefault="00023508" w:rsidP="00074E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Atlantic</w:t>
            </w:r>
            <w:proofErr w:type="spellEnd"/>
            <w:r>
              <w:rPr>
                <w:sz w:val="20"/>
                <w:szCs w:val="20"/>
              </w:rPr>
              <w:t xml:space="preserve"> Isles</w:t>
            </w:r>
          </w:p>
        </w:tc>
        <w:tc>
          <w:tcPr>
            <w:tcW w:w="1275" w:type="dxa"/>
          </w:tcPr>
          <w:p w:rsidR="00023508" w:rsidRDefault="00023508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16-4-2023</w:t>
            </w:r>
          </w:p>
        </w:tc>
        <w:tc>
          <w:tcPr>
            <w:tcW w:w="1276" w:type="dxa"/>
          </w:tcPr>
          <w:p w:rsidR="00023508" w:rsidRDefault="00023508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16-4-2023</w:t>
            </w:r>
          </w:p>
        </w:tc>
        <w:tc>
          <w:tcPr>
            <w:tcW w:w="4253" w:type="dxa"/>
          </w:tcPr>
          <w:p w:rsidR="00023508" w:rsidRDefault="00023508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 partido de suspensión por acumulación de tarjetas amarillas.</w:t>
            </w:r>
          </w:p>
          <w:p w:rsidR="00023508" w:rsidRDefault="00023508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2-4-2023</w:t>
            </w:r>
          </w:p>
        </w:tc>
      </w:tr>
      <w:tr w:rsidR="00023508" w:rsidRPr="003500F1" w:rsidTr="004839BA">
        <w:tc>
          <w:tcPr>
            <w:tcW w:w="1531" w:type="dxa"/>
          </w:tcPr>
          <w:p w:rsidR="00B90BC1" w:rsidRDefault="00B90BC1" w:rsidP="00B9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Fabián Bracamonte Ríos </w:t>
            </w:r>
            <w:r w:rsidR="00023508">
              <w:rPr>
                <w:sz w:val="20"/>
                <w:szCs w:val="20"/>
              </w:rPr>
              <w:t xml:space="preserve"> </w:t>
            </w:r>
          </w:p>
          <w:p w:rsidR="00023508" w:rsidRDefault="00023508" w:rsidP="00B9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</w:t>
            </w:r>
            <w:r w:rsidR="00B90BC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23508" w:rsidRPr="007519BC" w:rsidRDefault="00023508" w:rsidP="00B90B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023508" w:rsidRDefault="00023508" w:rsidP="00B90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16-4-2023</w:t>
            </w:r>
          </w:p>
        </w:tc>
        <w:tc>
          <w:tcPr>
            <w:tcW w:w="1276" w:type="dxa"/>
          </w:tcPr>
          <w:p w:rsidR="00023508" w:rsidRDefault="00023508" w:rsidP="00B90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16-4-2023</w:t>
            </w:r>
          </w:p>
        </w:tc>
        <w:tc>
          <w:tcPr>
            <w:tcW w:w="4253" w:type="dxa"/>
          </w:tcPr>
          <w:p w:rsidR="00023508" w:rsidRDefault="00023508" w:rsidP="00B90BC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 partido de suspensión por acumulación de tarjetas amarillas.</w:t>
            </w:r>
          </w:p>
          <w:p w:rsidR="00023508" w:rsidRDefault="00023508" w:rsidP="00B90BC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2-4-2023</w:t>
            </w:r>
          </w:p>
        </w:tc>
      </w:tr>
      <w:tr w:rsidR="00023508" w:rsidRPr="003500F1" w:rsidTr="004839BA">
        <w:tc>
          <w:tcPr>
            <w:tcW w:w="1531" w:type="dxa"/>
          </w:tcPr>
          <w:p w:rsidR="00B90BC1" w:rsidRDefault="00B90BC1" w:rsidP="0002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Eneko Márquez Díaz </w:t>
            </w:r>
          </w:p>
          <w:p w:rsidR="00023508" w:rsidRDefault="00023508" w:rsidP="0002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15)</w:t>
            </w:r>
          </w:p>
        </w:tc>
        <w:tc>
          <w:tcPr>
            <w:tcW w:w="1134" w:type="dxa"/>
          </w:tcPr>
          <w:p w:rsidR="00023508" w:rsidRPr="007519BC" w:rsidRDefault="00023508" w:rsidP="0002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023508" w:rsidRDefault="00023508" w:rsidP="00B90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16-4-2023</w:t>
            </w:r>
          </w:p>
        </w:tc>
        <w:tc>
          <w:tcPr>
            <w:tcW w:w="1276" w:type="dxa"/>
          </w:tcPr>
          <w:p w:rsidR="00023508" w:rsidRDefault="00023508" w:rsidP="00B90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16-4-2023</w:t>
            </w:r>
          </w:p>
        </w:tc>
        <w:tc>
          <w:tcPr>
            <w:tcW w:w="4253" w:type="dxa"/>
          </w:tcPr>
          <w:p w:rsidR="00023508" w:rsidRDefault="00023508" w:rsidP="00B90BC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 partido de suspensión por acumulación de tarjetas amarillas.</w:t>
            </w:r>
          </w:p>
          <w:p w:rsidR="00023508" w:rsidRDefault="00023508" w:rsidP="00B90BC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2-4-2023</w:t>
            </w:r>
          </w:p>
        </w:tc>
      </w:tr>
      <w:tr w:rsidR="00023508" w:rsidRPr="003500F1" w:rsidTr="004839BA">
        <w:tc>
          <w:tcPr>
            <w:tcW w:w="1531" w:type="dxa"/>
          </w:tcPr>
          <w:p w:rsidR="00B90BC1" w:rsidRDefault="00B90BC1" w:rsidP="0002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Bernardo Ramón </w:t>
            </w:r>
            <w:proofErr w:type="spellStart"/>
            <w:r>
              <w:rPr>
                <w:sz w:val="20"/>
                <w:szCs w:val="20"/>
              </w:rPr>
              <w:t>Gayoso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Florentin</w:t>
            </w:r>
            <w:proofErr w:type="spellEnd"/>
          </w:p>
          <w:p w:rsidR="00023508" w:rsidRDefault="00023508" w:rsidP="0002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26)</w:t>
            </w:r>
          </w:p>
        </w:tc>
        <w:tc>
          <w:tcPr>
            <w:tcW w:w="1134" w:type="dxa"/>
          </w:tcPr>
          <w:p w:rsidR="00023508" w:rsidRPr="007519BC" w:rsidRDefault="00023508" w:rsidP="0002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23508" w:rsidRDefault="00023508" w:rsidP="00B90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16-4-2023</w:t>
            </w:r>
          </w:p>
        </w:tc>
        <w:tc>
          <w:tcPr>
            <w:tcW w:w="1276" w:type="dxa"/>
          </w:tcPr>
          <w:p w:rsidR="00023508" w:rsidRDefault="00023508" w:rsidP="00B90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16-4-2023</w:t>
            </w:r>
          </w:p>
        </w:tc>
        <w:tc>
          <w:tcPr>
            <w:tcW w:w="4253" w:type="dxa"/>
          </w:tcPr>
          <w:p w:rsidR="00023508" w:rsidRDefault="00023508" w:rsidP="00B90BC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 partido de suspensión por acumulación de tarjetas amarillas.</w:t>
            </w:r>
          </w:p>
          <w:p w:rsidR="00023508" w:rsidRDefault="00023508" w:rsidP="00B90BC1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2-4-2023</w:t>
            </w:r>
          </w:p>
        </w:tc>
      </w:tr>
    </w:tbl>
    <w:p w:rsidR="00653A00" w:rsidRDefault="00653A00" w:rsidP="00570284">
      <w:pPr>
        <w:ind w:left="284"/>
        <w:rPr>
          <w:b/>
        </w:rPr>
      </w:pPr>
    </w:p>
    <w:p w:rsidR="00570284" w:rsidRDefault="005702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lastRenderedPageBreak/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834484" w:rsidRDefault="00834484" w:rsidP="00C82B4B">
      <w:pPr>
        <w:ind w:left="284" w:hanging="284"/>
        <w:rPr>
          <w:b/>
        </w:rPr>
      </w:pPr>
    </w:p>
    <w:p w:rsidR="00653A00" w:rsidRDefault="00653A00" w:rsidP="00C82B4B">
      <w:pPr>
        <w:ind w:left="284" w:hanging="284"/>
        <w:rPr>
          <w:b/>
        </w:rPr>
      </w:pPr>
    </w:p>
    <w:p w:rsidR="00653A00" w:rsidRDefault="00653A00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A2F4D">
        <w:t>Cafeteros</w:t>
      </w:r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7567E5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B90BC1" w:rsidRDefault="00B90BC1" w:rsidP="00827D77">
      <w:pPr>
        <w:pStyle w:val="NormalWeb"/>
        <w:shd w:val="clear" w:color="auto" w:fill="FFFFFF"/>
        <w:ind w:left="284"/>
        <w:jc w:val="both"/>
        <w:textAlignment w:val="top"/>
      </w:pPr>
    </w:p>
    <w:p w:rsidR="00B90BC1" w:rsidRDefault="00B90BC1" w:rsidP="00827D77">
      <w:pPr>
        <w:pStyle w:val="NormalWeb"/>
        <w:shd w:val="clear" w:color="auto" w:fill="FFFFFF"/>
        <w:ind w:left="284"/>
        <w:jc w:val="both"/>
        <w:textAlignment w:val="top"/>
      </w:pPr>
    </w:p>
    <w:p w:rsidR="00B90BC1" w:rsidRDefault="00B90BC1" w:rsidP="00827D77">
      <w:pPr>
        <w:pStyle w:val="NormalWeb"/>
        <w:shd w:val="clear" w:color="auto" w:fill="FFFFFF"/>
        <w:ind w:left="284"/>
        <w:jc w:val="both"/>
        <w:textAlignment w:val="top"/>
      </w:pPr>
    </w:p>
    <w:p w:rsidR="00B90BC1" w:rsidRDefault="00B90BC1" w:rsidP="00827D77">
      <w:pPr>
        <w:pStyle w:val="NormalWeb"/>
        <w:shd w:val="clear" w:color="auto" w:fill="FFFFFF"/>
        <w:ind w:left="284"/>
        <w:jc w:val="both"/>
        <w:textAlignment w:val="top"/>
      </w:pPr>
    </w:p>
    <w:p w:rsidR="00B90BC1" w:rsidRDefault="00B90BC1" w:rsidP="00827D77">
      <w:pPr>
        <w:pStyle w:val="NormalWeb"/>
        <w:shd w:val="clear" w:color="auto" w:fill="FFFFFF"/>
        <w:ind w:left="284"/>
        <w:jc w:val="both"/>
        <w:textAlignment w:val="top"/>
      </w:pP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lastRenderedPageBreak/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</w:t>
            </w:r>
            <w:r w:rsidR="006F7F04">
              <w:rPr>
                <w:b/>
              </w:rPr>
              <w:t xml:space="preserve"> </w:t>
            </w:r>
            <w:r w:rsidR="00321EEB">
              <w:rPr>
                <w:b/>
              </w:rPr>
              <w:t>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</w:t>
            </w:r>
            <w:r w:rsidR="00321EEB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24706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Default="00FF7262" w:rsidP="00A657AD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B90BC1" w:rsidRDefault="00B90BC1" w:rsidP="00570284">
      <w:pPr>
        <w:pStyle w:val="NormalWeb"/>
        <w:shd w:val="clear" w:color="auto" w:fill="FFFFFF"/>
        <w:ind w:left="426"/>
        <w:jc w:val="both"/>
        <w:textAlignment w:val="top"/>
      </w:pPr>
      <w:r>
        <w:t>Las multas por sanciones deportivas habidas desde el 1º de enero 2023 hasta la fecha son las siguientes: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2268"/>
        <w:gridCol w:w="1842"/>
        <w:gridCol w:w="1839"/>
        <w:gridCol w:w="2161"/>
      </w:tblGrid>
      <w:tr w:rsidR="00B90BC1" w:rsidTr="00B90BC1">
        <w:tc>
          <w:tcPr>
            <w:tcW w:w="2268" w:type="dxa"/>
            <w:shd w:val="clear" w:color="auto" w:fill="D9D9D9" w:themeFill="background1" w:themeFillShade="D9"/>
          </w:tcPr>
          <w:p w:rsidR="00B90BC1" w:rsidRPr="00094EBC" w:rsidRDefault="00B90BC1" w:rsidP="00B90BC1">
            <w:pPr>
              <w:jc w:val="center"/>
              <w:rPr>
                <w:b/>
              </w:rPr>
            </w:pPr>
            <w:r w:rsidRPr="00094EBC">
              <w:rPr>
                <w:b/>
              </w:rPr>
              <w:t>Equipo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90BC1" w:rsidRPr="00094EBC" w:rsidRDefault="00B90BC1" w:rsidP="00B90BC1">
            <w:pPr>
              <w:jc w:val="center"/>
              <w:rPr>
                <w:b/>
              </w:rPr>
            </w:pPr>
            <w:r w:rsidRPr="00094EBC">
              <w:rPr>
                <w:b/>
              </w:rPr>
              <w:t>Tarjetas amarillas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B90BC1" w:rsidRPr="00094EBC" w:rsidRDefault="00B90BC1" w:rsidP="00B90BC1">
            <w:pPr>
              <w:jc w:val="center"/>
              <w:rPr>
                <w:b/>
              </w:rPr>
            </w:pPr>
            <w:r w:rsidRPr="00094EBC">
              <w:rPr>
                <w:b/>
              </w:rPr>
              <w:t>Multas por tarjetas rojas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B90BC1" w:rsidRPr="00094EBC" w:rsidRDefault="00B90BC1" w:rsidP="00B90BC1">
            <w:pPr>
              <w:jc w:val="center"/>
              <w:rPr>
                <w:b/>
              </w:rPr>
            </w:pPr>
            <w:r w:rsidRPr="00094EBC">
              <w:rPr>
                <w:b/>
              </w:rPr>
              <w:t>Total a pagar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r w:rsidRPr="00B90BC1">
              <w:rPr>
                <w:b/>
              </w:rPr>
              <w:t>8 40</w:t>
            </w:r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24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  <w:r>
              <w:t>36 €</w:t>
            </w: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72,00 €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proofErr w:type="spellStart"/>
            <w:r w:rsidRPr="00B90BC1">
              <w:rPr>
                <w:b/>
              </w:rPr>
              <w:t>Atlantic</w:t>
            </w:r>
            <w:proofErr w:type="spellEnd"/>
            <w:r w:rsidRPr="00B90BC1">
              <w:rPr>
                <w:b/>
              </w:rPr>
              <w:t xml:space="preserve"> Isles</w:t>
            </w:r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21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31,50 €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r w:rsidRPr="00B90BC1">
              <w:rPr>
                <w:b/>
              </w:rPr>
              <w:t>Cafeteros</w:t>
            </w:r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30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  <w:r>
              <w:t>36 €</w:t>
            </w: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81,00 €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proofErr w:type="spellStart"/>
            <w:r w:rsidRPr="00B90BC1">
              <w:rPr>
                <w:b/>
              </w:rPr>
              <w:t>Koky</w:t>
            </w:r>
            <w:proofErr w:type="spellEnd"/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23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34,50 €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r w:rsidRPr="00B90BC1">
              <w:rPr>
                <w:b/>
              </w:rPr>
              <w:t>La Perla del Oeste</w:t>
            </w:r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20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30,00 €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r w:rsidRPr="00B90BC1">
              <w:rPr>
                <w:b/>
              </w:rPr>
              <w:t>La Sede</w:t>
            </w:r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24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36,00 €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proofErr w:type="spellStart"/>
            <w:r w:rsidRPr="00B90BC1">
              <w:rPr>
                <w:b/>
              </w:rPr>
              <w:t>Pindepa</w:t>
            </w:r>
            <w:proofErr w:type="spellEnd"/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25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37,50 €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r w:rsidRPr="00B90BC1">
              <w:rPr>
                <w:b/>
              </w:rPr>
              <w:t>San Agustín</w:t>
            </w:r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19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28,50 €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proofErr w:type="spellStart"/>
            <w:r w:rsidRPr="00B90BC1">
              <w:rPr>
                <w:b/>
              </w:rPr>
              <w:t>Tartanga</w:t>
            </w:r>
            <w:proofErr w:type="spellEnd"/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20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30,00 €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proofErr w:type="spellStart"/>
            <w:r w:rsidRPr="00B90BC1">
              <w:rPr>
                <w:b/>
              </w:rPr>
              <w:t>Unirea</w:t>
            </w:r>
            <w:proofErr w:type="spellEnd"/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26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  <w:r>
              <w:t>60 €</w:t>
            </w: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99,00 €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proofErr w:type="spellStart"/>
            <w:r w:rsidRPr="00B90BC1">
              <w:rPr>
                <w:b/>
              </w:rPr>
              <w:t>Yepronor</w:t>
            </w:r>
            <w:proofErr w:type="spellEnd"/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25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  <w:r>
              <w:t>24 €</w:t>
            </w: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61,50 €</w:t>
            </w:r>
          </w:p>
        </w:tc>
      </w:tr>
      <w:tr w:rsidR="00B90BC1" w:rsidTr="00B90BC1">
        <w:tc>
          <w:tcPr>
            <w:tcW w:w="2268" w:type="dxa"/>
          </w:tcPr>
          <w:p w:rsidR="00B90BC1" w:rsidRPr="00B90BC1" w:rsidRDefault="00B90BC1" w:rsidP="00B90BC1">
            <w:pPr>
              <w:jc w:val="both"/>
              <w:rPr>
                <w:b/>
              </w:rPr>
            </w:pPr>
            <w:r w:rsidRPr="00B90BC1">
              <w:rPr>
                <w:b/>
              </w:rPr>
              <w:t>Zabala</w:t>
            </w:r>
          </w:p>
        </w:tc>
        <w:tc>
          <w:tcPr>
            <w:tcW w:w="1842" w:type="dxa"/>
          </w:tcPr>
          <w:p w:rsidR="00B90BC1" w:rsidRDefault="00B90BC1" w:rsidP="00B90BC1">
            <w:pPr>
              <w:jc w:val="center"/>
            </w:pPr>
            <w:r>
              <w:t>19</w:t>
            </w:r>
          </w:p>
        </w:tc>
        <w:tc>
          <w:tcPr>
            <w:tcW w:w="1839" w:type="dxa"/>
          </w:tcPr>
          <w:p w:rsidR="00B90BC1" w:rsidRDefault="00B90BC1" w:rsidP="00B90BC1">
            <w:pPr>
              <w:jc w:val="center"/>
            </w:pPr>
            <w:r>
              <w:t>24 €</w:t>
            </w:r>
          </w:p>
        </w:tc>
        <w:tc>
          <w:tcPr>
            <w:tcW w:w="2161" w:type="dxa"/>
          </w:tcPr>
          <w:p w:rsidR="00B90BC1" w:rsidRPr="00B90BC1" w:rsidRDefault="00B90BC1" w:rsidP="00B90BC1">
            <w:pPr>
              <w:jc w:val="center"/>
              <w:rPr>
                <w:b/>
              </w:rPr>
            </w:pPr>
            <w:r w:rsidRPr="00B90BC1">
              <w:rPr>
                <w:b/>
              </w:rPr>
              <w:t>52,50 €</w:t>
            </w:r>
          </w:p>
        </w:tc>
      </w:tr>
    </w:tbl>
    <w:p w:rsidR="00B90BC1" w:rsidRDefault="00B90BC1" w:rsidP="00B90BC1"/>
    <w:p w:rsidR="00B90BC1" w:rsidRDefault="00B90BC1" w:rsidP="00B90BC1">
      <w:pPr>
        <w:ind w:left="426"/>
      </w:pPr>
      <w:r>
        <w:t xml:space="preserve">Deben pagarse antes del 17-4-2023. </w:t>
      </w:r>
    </w:p>
    <w:p w:rsidR="00B90BC1" w:rsidRDefault="00B90BC1" w:rsidP="00B90BC1">
      <w:pPr>
        <w:ind w:left="426"/>
      </w:pPr>
    </w:p>
    <w:p w:rsidR="00B90BC1" w:rsidRPr="00094EBC" w:rsidRDefault="00B90BC1" w:rsidP="00B90BC1">
      <w:pPr>
        <w:ind w:left="426"/>
      </w:pPr>
      <w:r>
        <w:t>A partir de esa fecha, se aplicarán las multas por retrasos así como las sanciones si el retraso supera las dos semanas.</w:t>
      </w:r>
    </w:p>
    <w:p w:rsidR="00B90BC1" w:rsidRDefault="00B90BC1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</w:p>
    <w:p w:rsidR="00AB6679" w:rsidRDefault="00C75360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</w:t>
      </w:r>
      <w:r w:rsidR="00AE2EBD">
        <w:rPr>
          <w:color w:val="000000"/>
          <w:shd w:val="clear" w:color="auto" w:fill="FFFFFF"/>
        </w:rPr>
        <w:t xml:space="preserve">as cantidades </w:t>
      </w:r>
      <w:r w:rsidR="00B90BC1">
        <w:rPr>
          <w:color w:val="000000"/>
          <w:shd w:val="clear" w:color="auto" w:fill="FFFFFF"/>
        </w:rPr>
        <w:t xml:space="preserve">retrasadas </w:t>
      </w:r>
      <w:r w:rsidR="00AE2EBD">
        <w:rPr>
          <w:color w:val="000000"/>
          <w:shd w:val="clear" w:color="auto" w:fill="FFFFFF"/>
        </w:rPr>
        <w:t>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BC763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BC763F" w:rsidP="008761DB">
            <w:pPr>
              <w:spacing w:before="100" w:after="100"/>
              <w:jc w:val="center"/>
            </w:pPr>
          </w:p>
        </w:tc>
      </w:tr>
    </w:tbl>
    <w:p w:rsidR="00DA0367" w:rsidRP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 xml:space="preserve">miércoles </w:t>
      </w:r>
      <w:r w:rsidR="00C75360">
        <w:rPr>
          <w:b/>
        </w:rPr>
        <w:t>x</w:t>
      </w:r>
      <w:r w:rsidRPr="00690C22">
        <w:rPr>
          <w:b/>
        </w:rPr>
        <w:t xml:space="preserve"> de </w:t>
      </w:r>
      <w:proofErr w:type="spellStart"/>
      <w:r w:rsidR="00C75360">
        <w:rPr>
          <w:b/>
        </w:rPr>
        <w:t>xxxxxx</w:t>
      </w:r>
      <w:proofErr w:type="spellEnd"/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C75360">
        <w:rPr>
          <w:b/>
        </w:rPr>
        <w:t>x</w:t>
      </w:r>
      <w:r w:rsidRPr="00690C22">
        <w:rPr>
          <w:b/>
        </w:rPr>
        <w:t xml:space="preserve"> de </w:t>
      </w:r>
      <w:proofErr w:type="spellStart"/>
      <w:r w:rsidR="00C75360">
        <w:rPr>
          <w:b/>
        </w:rPr>
        <w:t>xxxxx</w:t>
      </w:r>
      <w:proofErr w:type="spellEnd"/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95" w:rsidRDefault="00782495">
      <w:r>
        <w:separator/>
      </w:r>
    </w:p>
  </w:endnote>
  <w:endnote w:type="continuationSeparator" w:id="0">
    <w:p w:rsidR="00782495" w:rsidRDefault="0078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C1" w:rsidRDefault="00B90BC1">
    <w:pPr>
      <w:pStyle w:val="Piedepgina"/>
      <w:pBdr>
        <w:bottom w:val="single" w:sz="12" w:space="1" w:color="auto"/>
      </w:pBdr>
    </w:pPr>
  </w:p>
  <w:p w:rsidR="00B90BC1" w:rsidRPr="00B62BB2" w:rsidRDefault="00B90BC1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22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2-4-23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 xml:space="preserve">Torneo Clausura 2022/2023)                            </w:t>
    </w:r>
    <w:r w:rsidRPr="00B62BB2">
      <w:rPr>
        <w:sz w:val="18"/>
        <w:szCs w:val="18"/>
      </w:rPr>
      <w:t xml:space="preserve">     pág.</w:t>
    </w:r>
    <w:r w:rsidR="007C037B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7C037B" w:rsidRPr="00B62BB2">
      <w:rPr>
        <w:rStyle w:val="Nmerodepgina"/>
        <w:sz w:val="18"/>
        <w:szCs w:val="18"/>
      </w:rPr>
      <w:fldChar w:fldCharType="separate"/>
    </w:r>
    <w:r w:rsidR="00481D13">
      <w:rPr>
        <w:rStyle w:val="Nmerodepgina"/>
        <w:noProof/>
        <w:sz w:val="18"/>
        <w:szCs w:val="18"/>
      </w:rPr>
      <w:t>3</w:t>
    </w:r>
    <w:r w:rsidR="007C037B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7C037B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7C037B" w:rsidRPr="00B62BB2">
      <w:rPr>
        <w:rStyle w:val="Nmerodepgina"/>
        <w:sz w:val="18"/>
        <w:szCs w:val="18"/>
      </w:rPr>
      <w:fldChar w:fldCharType="separate"/>
    </w:r>
    <w:r w:rsidR="00481D13">
      <w:rPr>
        <w:rStyle w:val="Nmerodepgina"/>
        <w:noProof/>
        <w:sz w:val="18"/>
        <w:szCs w:val="18"/>
      </w:rPr>
      <w:t>7</w:t>
    </w:r>
    <w:r w:rsidR="007C037B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95" w:rsidRDefault="00782495">
      <w:r>
        <w:separator/>
      </w:r>
    </w:p>
  </w:footnote>
  <w:footnote w:type="continuationSeparator" w:id="0">
    <w:p w:rsidR="00782495" w:rsidRDefault="0078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0DB"/>
    <w:rsid w:val="00002201"/>
    <w:rsid w:val="000022DE"/>
    <w:rsid w:val="0000355E"/>
    <w:rsid w:val="00003B15"/>
    <w:rsid w:val="00003E86"/>
    <w:rsid w:val="0000450E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508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5C18"/>
    <w:rsid w:val="000764CD"/>
    <w:rsid w:val="00077FA7"/>
    <w:rsid w:val="00081A7B"/>
    <w:rsid w:val="000826AF"/>
    <w:rsid w:val="00083764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97E91"/>
    <w:rsid w:val="000A08BD"/>
    <w:rsid w:val="000A1552"/>
    <w:rsid w:val="000A1AAE"/>
    <w:rsid w:val="000A3312"/>
    <w:rsid w:val="000A38CA"/>
    <w:rsid w:val="000A4BDF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152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6E60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1F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6745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C4"/>
    <w:rsid w:val="001739E9"/>
    <w:rsid w:val="001744B6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E2A"/>
    <w:rsid w:val="001B6776"/>
    <w:rsid w:val="001B69E1"/>
    <w:rsid w:val="001B7FEC"/>
    <w:rsid w:val="001C199A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6488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1BC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39AF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144B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6A14"/>
    <w:rsid w:val="002E7847"/>
    <w:rsid w:val="002F14AE"/>
    <w:rsid w:val="002F5A3A"/>
    <w:rsid w:val="002F6B55"/>
    <w:rsid w:val="002F7211"/>
    <w:rsid w:val="003005FF"/>
    <w:rsid w:val="00303A4B"/>
    <w:rsid w:val="003068C6"/>
    <w:rsid w:val="00310744"/>
    <w:rsid w:val="00312593"/>
    <w:rsid w:val="00314D5E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47961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86F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A88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C55"/>
    <w:rsid w:val="003E21B2"/>
    <w:rsid w:val="003E3B81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5111"/>
    <w:rsid w:val="00416096"/>
    <w:rsid w:val="00416205"/>
    <w:rsid w:val="004163CD"/>
    <w:rsid w:val="0041684B"/>
    <w:rsid w:val="00416FA3"/>
    <w:rsid w:val="004175BC"/>
    <w:rsid w:val="00417F75"/>
    <w:rsid w:val="004204EA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083"/>
    <w:rsid w:val="00446CDF"/>
    <w:rsid w:val="00447359"/>
    <w:rsid w:val="004500E8"/>
    <w:rsid w:val="00450BB8"/>
    <w:rsid w:val="00450CC3"/>
    <w:rsid w:val="00454B35"/>
    <w:rsid w:val="00455DE3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1D13"/>
    <w:rsid w:val="00482416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97D19"/>
    <w:rsid w:val="004A0976"/>
    <w:rsid w:val="004A14F3"/>
    <w:rsid w:val="004A1756"/>
    <w:rsid w:val="004A268A"/>
    <w:rsid w:val="004A2F4D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B7471"/>
    <w:rsid w:val="004C0979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39FD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5B68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57A"/>
    <w:rsid w:val="0054181A"/>
    <w:rsid w:val="00543852"/>
    <w:rsid w:val="0054489B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6030"/>
    <w:rsid w:val="00566B07"/>
    <w:rsid w:val="00567B8A"/>
    <w:rsid w:val="00570284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5AB7"/>
    <w:rsid w:val="00586482"/>
    <w:rsid w:val="00587051"/>
    <w:rsid w:val="0058755A"/>
    <w:rsid w:val="005879C4"/>
    <w:rsid w:val="00587E05"/>
    <w:rsid w:val="005932FD"/>
    <w:rsid w:val="00595A8F"/>
    <w:rsid w:val="00597DEE"/>
    <w:rsid w:val="005A00E5"/>
    <w:rsid w:val="005A4745"/>
    <w:rsid w:val="005A6534"/>
    <w:rsid w:val="005A770B"/>
    <w:rsid w:val="005B0996"/>
    <w:rsid w:val="005B0F77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5658"/>
    <w:rsid w:val="005E6633"/>
    <w:rsid w:val="005F0822"/>
    <w:rsid w:val="005F2E7E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5E3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A00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57D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24B2"/>
    <w:rsid w:val="00703928"/>
    <w:rsid w:val="00710CF4"/>
    <w:rsid w:val="007116E9"/>
    <w:rsid w:val="00711FBA"/>
    <w:rsid w:val="0071218D"/>
    <w:rsid w:val="0071368A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2C68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2495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5715"/>
    <w:rsid w:val="007B67C2"/>
    <w:rsid w:val="007C037B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4ACE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5C7A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5CF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302D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761DB"/>
    <w:rsid w:val="008762CD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7CD"/>
    <w:rsid w:val="00892FE0"/>
    <w:rsid w:val="00893F12"/>
    <w:rsid w:val="0089694B"/>
    <w:rsid w:val="008978C8"/>
    <w:rsid w:val="008978F4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5BBF"/>
    <w:rsid w:val="008A611E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11D"/>
    <w:rsid w:val="008D7FEF"/>
    <w:rsid w:val="008E169C"/>
    <w:rsid w:val="008E1917"/>
    <w:rsid w:val="008E21E1"/>
    <w:rsid w:val="008E252E"/>
    <w:rsid w:val="008E3285"/>
    <w:rsid w:val="008E34F0"/>
    <w:rsid w:val="008E35F4"/>
    <w:rsid w:val="008E36F2"/>
    <w:rsid w:val="008E3869"/>
    <w:rsid w:val="008E3E8D"/>
    <w:rsid w:val="008E4773"/>
    <w:rsid w:val="008E6482"/>
    <w:rsid w:val="008E7C2C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4F97"/>
    <w:rsid w:val="0091512D"/>
    <w:rsid w:val="009164CD"/>
    <w:rsid w:val="00916855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AF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0A7"/>
    <w:rsid w:val="00986392"/>
    <w:rsid w:val="00987102"/>
    <w:rsid w:val="00987778"/>
    <w:rsid w:val="009911E4"/>
    <w:rsid w:val="00991F58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2842"/>
    <w:rsid w:val="009D36AE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6A8A"/>
    <w:rsid w:val="009E7B11"/>
    <w:rsid w:val="009F0310"/>
    <w:rsid w:val="009F50AE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4C1A"/>
    <w:rsid w:val="00A05473"/>
    <w:rsid w:val="00A05937"/>
    <w:rsid w:val="00A05EE1"/>
    <w:rsid w:val="00A06303"/>
    <w:rsid w:val="00A107F1"/>
    <w:rsid w:val="00A11AC8"/>
    <w:rsid w:val="00A13B68"/>
    <w:rsid w:val="00A14119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5827"/>
    <w:rsid w:val="00A36865"/>
    <w:rsid w:val="00A36EAF"/>
    <w:rsid w:val="00A418CF"/>
    <w:rsid w:val="00A42290"/>
    <w:rsid w:val="00A42863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2925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31A1"/>
    <w:rsid w:val="00A9418E"/>
    <w:rsid w:val="00A97AE1"/>
    <w:rsid w:val="00AA0E23"/>
    <w:rsid w:val="00AA17BB"/>
    <w:rsid w:val="00AA192D"/>
    <w:rsid w:val="00AA1FCA"/>
    <w:rsid w:val="00AA303A"/>
    <w:rsid w:val="00AA3180"/>
    <w:rsid w:val="00AA68E1"/>
    <w:rsid w:val="00AA731A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4FC5"/>
    <w:rsid w:val="00AC6143"/>
    <w:rsid w:val="00AC6A2C"/>
    <w:rsid w:val="00AC74B5"/>
    <w:rsid w:val="00AC7856"/>
    <w:rsid w:val="00AC797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1FD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0609"/>
    <w:rsid w:val="00B217E9"/>
    <w:rsid w:val="00B22D1B"/>
    <w:rsid w:val="00B2303C"/>
    <w:rsid w:val="00B24143"/>
    <w:rsid w:val="00B2616A"/>
    <w:rsid w:val="00B272EF"/>
    <w:rsid w:val="00B27A08"/>
    <w:rsid w:val="00B3094B"/>
    <w:rsid w:val="00B315EE"/>
    <w:rsid w:val="00B32190"/>
    <w:rsid w:val="00B32842"/>
    <w:rsid w:val="00B33652"/>
    <w:rsid w:val="00B34016"/>
    <w:rsid w:val="00B35190"/>
    <w:rsid w:val="00B40C8A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4E75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0BC1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2D85"/>
    <w:rsid w:val="00BE3373"/>
    <w:rsid w:val="00BE3492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3BC1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805"/>
    <w:rsid w:val="00C24F58"/>
    <w:rsid w:val="00C25033"/>
    <w:rsid w:val="00C26645"/>
    <w:rsid w:val="00C26D9A"/>
    <w:rsid w:val="00C306AC"/>
    <w:rsid w:val="00C31184"/>
    <w:rsid w:val="00C32D3C"/>
    <w:rsid w:val="00C3357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0B39"/>
    <w:rsid w:val="00C412BF"/>
    <w:rsid w:val="00C44025"/>
    <w:rsid w:val="00C45144"/>
    <w:rsid w:val="00C455DA"/>
    <w:rsid w:val="00C4652A"/>
    <w:rsid w:val="00C466D5"/>
    <w:rsid w:val="00C46E5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5360"/>
    <w:rsid w:val="00C768C4"/>
    <w:rsid w:val="00C771C3"/>
    <w:rsid w:val="00C80EEE"/>
    <w:rsid w:val="00C8118C"/>
    <w:rsid w:val="00C81D27"/>
    <w:rsid w:val="00C821FF"/>
    <w:rsid w:val="00C82217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1776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2FD3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1AD8"/>
    <w:rsid w:val="00CE2E23"/>
    <w:rsid w:val="00CE4E3F"/>
    <w:rsid w:val="00CE621A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0F98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074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216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5CC0"/>
    <w:rsid w:val="00E16E07"/>
    <w:rsid w:val="00E22418"/>
    <w:rsid w:val="00E22810"/>
    <w:rsid w:val="00E23287"/>
    <w:rsid w:val="00E248CE"/>
    <w:rsid w:val="00E2526F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0CD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34C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8D8"/>
    <w:rsid w:val="00EC4A18"/>
    <w:rsid w:val="00EC67A6"/>
    <w:rsid w:val="00EC6AB4"/>
    <w:rsid w:val="00EC78A9"/>
    <w:rsid w:val="00ED0180"/>
    <w:rsid w:val="00ED17AE"/>
    <w:rsid w:val="00ED39E6"/>
    <w:rsid w:val="00ED5F7B"/>
    <w:rsid w:val="00ED7405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8D1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706"/>
    <w:rsid w:val="00F24D55"/>
    <w:rsid w:val="00F26EEC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66"/>
    <w:rsid w:val="00F365CD"/>
    <w:rsid w:val="00F366C0"/>
    <w:rsid w:val="00F36968"/>
    <w:rsid w:val="00F40758"/>
    <w:rsid w:val="00F41B9A"/>
    <w:rsid w:val="00F4391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BAA"/>
    <w:rsid w:val="00F63FE1"/>
    <w:rsid w:val="00F6549A"/>
    <w:rsid w:val="00F66C36"/>
    <w:rsid w:val="00F67192"/>
    <w:rsid w:val="00F7112D"/>
    <w:rsid w:val="00F71917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3BF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DB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B95EA-FA9A-4004-9619-31DF2725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Javier Fernandez Fernandez</cp:lastModifiedBy>
  <cp:revision>4</cp:revision>
  <cp:lastPrinted>2023-04-12T20:16:00Z</cp:lastPrinted>
  <dcterms:created xsi:type="dcterms:W3CDTF">2023-04-12T20:16:00Z</dcterms:created>
  <dcterms:modified xsi:type="dcterms:W3CDTF">2023-04-13T14:25:00Z</dcterms:modified>
</cp:coreProperties>
</file>